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6D" w:rsidRPr="004F318F" w:rsidRDefault="0004066D" w:rsidP="004F318F">
      <w:pPr>
        <w:pStyle w:val="Title"/>
        <w:rPr>
          <w:sz w:val="40"/>
        </w:rPr>
      </w:pPr>
      <w:proofErr w:type="spellStart"/>
      <w:r w:rsidRPr="004F318F">
        <w:rPr>
          <w:sz w:val="40"/>
        </w:rPr>
        <w:t>Inova</w:t>
      </w:r>
      <w:proofErr w:type="spellEnd"/>
      <w:r w:rsidRPr="004F318F">
        <w:rPr>
          <w:sz w:val="40"/>
        </w:rPr>
        <w:t xml:space="preserve"> Fairfax Hospital ED</w:t>
      </w:r>
    </w:p>
    <w:p w:rsidR="0004066D" w:rsidRPr="004F318F" w:rsidRDefault="00EC2DBE" w:rsidP="004F318F">
      <w:pPr>
        <w:pStyle w:val="Title"/>
        <w:rPr>
          <w:sz w:val="40"/>
        </w:rPr>
      </w:pPr>
      <w:r w:rsidRPr="004F318F">
        <w:rPr>
          <w:sz w:val="40"/>
        </w:rPr>
        <w:t>CMS Core Measure for Severe Sepsis and Septic Shock</w:t>
      </w:r>
    </w:p>
    <w:p w:rsidR="00EC2DBE" w:rsidRPr="004F318F" w:rsidRDefault="00EC2DBE" w:rsidP="004F318F">
      <w:pPr>
        <w:pStyle w:val="Title"/>
        <w:rPr>
          <w:sz w:val="40"/>
        </w:rPr>
      </w:pPr>
      <w:r w:rsidRPr="004F318F">
        <w:rPr>
          <w:sz w:val="40"/>
        </w:rPr>
        <w:t>September, 2017</w:t>
      </w:r>
    </w:p>
    <w:p w:rsidR="00EC2DBE" w:rsidRDefault="00EC2DBE">
      <w:r>
        <w:t>The CMS core measure for severe sepsis and septic shock (</w:t>
      </w:r>
      <w:r w:rsidR="0091189D">
        <w:t>SEP-1</w:t>
      </w:r>
      <w:proofErr w:type="gramStart"/>
      <w:r>
        <w:t>),</w:t>
      </w:r>
      <w:proofErr w:type="gramEnd"/>
      <w:r>
        <w:t xml:space="preserve"> is a major area of focus at Fairfax. The major reason this core measure is important is that it drives </w:t>
      </w:r>
      <w:r w:rsidR="006D54F7">
        <w:t>down mortality from sepsis.  A</w:t>
      </w:r>
      <w:r w:rsidR="00881B58">
        <w:t xml:space="preserve">s we have become </w:t>
      </w:r>
      <w:r>
        <w:t>more compliant with this CM, our hospital wide adjusted mo</w:t>
      </w:r>
      <w:r w:rsidR="006D54F7">
        <w:t>rtality for sepsis has dropped significantly.</w:t>
      </w:r>
    </w:p>
    <w:p w:rsidR="00881B58" w:rsidRDefault="00881B58">
      <w:r>
        <w:t xml:space="preserve">This core measure is also important to all hospitals that participate in Medicare. Compliance with this core measure is reported to CMS and it drives a large portion of the variable compensation to hospitals, and will do so for years. Ultimately, your individual compliance will be reported to the government and be available to the public. </w:t>
      </w:r>
      <w:r w:rsidR="00F86704">
        <w:t xml:space="preserve">This core measure is important to CMS, individual hospitals, and will be important in any job you apply for. </w:t>
      </w:r>
    </w:p>
    <w:p w:rsidR="00881B58" w:rsidRDefault="00881B58">
      <w:r>
        <w:t xml:space="preserve">Here is how we approach this core measure at Fairfax. </w:t>
      </w:r>
    </w:p>
    <w:p w:rsidR="00656A8C" w:rsidRDefault="00881B58" w:rsidP="00881B58">
      <w:pPr>
        <w:pStyle w:val="ListParagraph"/>
        <w:numPr>
          <w:ilvl w:val="0"/>
          <w:numId w:val="1"/>
        </w:numPr>
      </w:pPr>
      <w:r>
        <w:t>To be included in the “denominator”, or the cohort of patients that may be identified as having either severe sepsis or septic shock, a given patient must have known or suspected infection and be SIRS positive. SIRS positive means two of the following must be true-</w:t>
      </w:r>
    </w:p>
    <w:p w:rsidR="00881B58" w:rsidRDefault="00881B58" w:rsidP="00881B58">
      <w:pPr>
        <w:pStyle w:val="ListParagraph"/>
        <w:numPr>
          <w:ilvl w:val="1"/>
          <w:numId w:val="1"/>
        </w:numPr>
      </w:pPr>
      <w:r>
        <w:t>Pulse &gt; 90</w:t>
      </w:r>
    </w:p>
    <w:p w:rsidR="00881B58" w:rsidRDefault="00881B58" w:rsidP="00881B58">
      <w:pPr>
        <w:pStyle w:val="ListParagraph"/>
        <w:numPr>
          <w:ilvl w:val="1"/>
          <w:numId w:val="1"/>
        </w:numPr>
      </w:pPr>
      <w:r>
        <w:t>RR &gt; 20</w:t>
      </w:r>
    </w:p>
    <w:p w:rsidR="00881B58" w:rsidRDefault="00881B58" w:rsidP="00881B58">
      <w:pPr>
        <w:pStyle w:val="ListParagraph"/>
        <w:numPr>
          <w:ilvl w:val="1"/>
          <w:numId w:val="1"/>
        </w:numPr>
      </w:pPr>
      <w:r>
        <w:t>Temperature either &gt; 100.9F or &lt; 96.8F</w:t>
      </w:r>
    </w:p>
    <w:p w:rsidR="00881B58" w:rsidRDefault="00881B58" w:rsidP="00881B58">
      <w:pPr>
        <w:pStyle w:val="ListParagraph"/>
        <w:numPr>
          <w:ilvl w:val="1"/>
          <w:numId w:val="1"/>
        </w:numPr>
      </w:pPr>
      <w:r>
        <w:t xml:space="preserve">WBC either </w:t>
      </w:r>
      <w:r w:rsidR="00846F32">
        <w:t xml:space="preserve">&gt; </w:t>
      </w:r>
      <w:r>
        <w:t>12,0000 or &lt; 4,000 or &gt; 10% bands</w:t>
      </w:r>
    </w:p>
    <w:p w:rsidR="00482411" w:rsidRDefault="00482411" w:rsidP="00482411">
      <w:pPr>
        <w:pStyle w:val="ListParagraph"/>
        <w:numPr>
          <w:ilvl w:val="0"/>
          <w:numId w:val="1"/>
        </w:numPr>
      </w:pPr>
      <w:r>
        <w:t>If SIRS +, severe sepsis exists if there is evidence of end organ damage, manifested by any one of the following</w:t>
      </w:r>
    </w:p>
    <w:p w:rsidR="00482411" w:rsidRDefault="00482411" w:rsidP="00482411">
      <w:pPr>
        <w:pStyle w:val="ListParagraph"/>
        <w:numPr>
          <w:ilvl w:val="1"/>
          <w:numId w:val="1"/>
        </w:numPr>
      </w:pPr>
      <w:r>
        <w:t>Lactate &gt; 2</w:t>
      </w:r>
    </w:p>
    <w:p w:rsidR="00482411" w:rsidRDefault="00482411" w:rsidP="00482411">
      <w:pPr>
        <w:pStyle w:val="ListParagraph"/>
        <w:numPr>
          <w:ilvl w:val="1"/>
          <w:numId w:val="1"/>
        </w:numPr>
      </w:pPr>
      <w:r>
        <w:t>SBP &lt; 90 or MAP &lt; 65 or SBP &gt; 40% less than prior reading</w:t>
      </w:r>
    </w:p>
    <w:p w:rsidR="00482411" w:rsidRDefault="00482411" w:rsidP="00482411">
      <w:pPr>
        <w:pStyle w:val="ListParagraph"/>
        <w:numPr>
          <w:ilvl w:val="1"/>
          <w:numId w:val="1"/>
        </w:numPr>
      </w:pPr>
      <w:r>
        <w:t>Creatinine &gt; 2</w:t>
      </w:r>
    </w:p>
    <w:p w:rsidR="00482411" w:rsidRDefault="00482411" w:rsidP="00482411">
      <w:pPr>
        <w:pStyle w:val="ListParagraph"/>
        <w:numPr>
          <w:ilvl w:val="1"/>
          <w:numId w:val="1"/>
        </w:numPr>
      </w:pPr>
      <w:r>
        <w:t>Bilirubin &gt; 2</w:t>
      </w:r>
    </w:p>
    <w:p w:rsidR="00482411" w:rsidRDefault="00482411" w:rsidP="00482411">
      <w:pPr>
        <w:pStyle w:val="ListParagraph"/>
        <w:numPr>
          <w:ilvl w:val="1"/>
          <w:numId w:val="1"/>
        </w:numPr>
      </w:pPr>
      <w:r>
        <w:t>Platelets &lt; 100,000</w:t>
      </w:r>
    </w:p>
    <w:p w:rsidR="00482411" w:rsidRDefault="00482411" w:rsidP="00482411">
      <w:pPr>
        <w:pStyle w:val="ListParagraph"/>
        <w:numPr>
          <w:ilvl w:val="1"/>
          <w:numId w:val="1"/>
        </w:numPr>
      </w:pPr>
      <w:r>
        <w:t>INR &gt; 1.5</w:t>
      </w:r>
    </w:p>
    <w:p w:rsidR="00482411" w:rsidRDefault="00482411" w:rsidP="00482411">
      <w:pPr>
        <w:pStyle w:val="ListParagraph"/>
        <w:numPr>
          <w:ilvl w:val="1"/>
          <w:numId w:val="1"/>
        </w:numPr>
      </w:pPr>
      <w:r>
        <w:t>Acute respiratory failure (either invasive or non-invasive ventilation</w:t>
      </w:r>
    </w:p>
    <w:p w:rsidR="00482411" w:rsidRDefault="00482411" w:rsidP="00482411">
      <w:pPr>
        <w:pStyle w:val="ListParagraph"/>
        <w:numPr>
          <w:ilvl w:val="1"/>
          <w:numId w:val="1"/>
        </w:numPr>
      </w:pPr>
      <w:r>
        <w:t>If the provider uses the term “severe sepsis” anywhere in the chart</w:t>
      </w:r>
    </w:p>
    <w:p w:rsidR="00482411" w:rsidRDefault="009755F2" w:rsidP="00482411">
      <w:pPr>
        <w:pStyle w:val="ListParagraph"/>
        <w:numPr>
          <w:ilvl w:val="0"/>
          <w:numId w:val="1"/>
        </w:numPr>
      </w:pPr>
      <w:r w:rsidRPr="009755F2">
        <w:rPr>
          <w:b/>
          <w:sz w:val="28"/>
        </w:rPr>
        <w:t>Lactate &gt; 2</w:t>
      </w:r>
      <w:r w:rsidRPr="009755F2">
        <w:rPr>
          <w:sz w:val="28"/>
        </w:rPr>
        <w:t xml:space="preserve"> </w:t>
      </w:r>
      <w:r>
        <w:t xml:space="preserve">- </w:t>
      </w:r>
      <w:r w:rsidR="00923C8E">
        <w:t xml:space="preserve">When one of these patients has end organ damage – typically via a lactate &gt; 2 – we </w:t>
      </w:r>
      <w:r w:rsidR="00923C8E" w:rsidRPr="00923C8E">
        <w:rPr>
          <w:b/>
          <w:sz w:val="32"/>
          <w:u w:val="single"/>
        </w:rPr>
        <w:t>HUDDLE</w:t>
      </w:r>
      <w:r w:rsidR="00923C8E">
        <w:t>. Our sepsis huddle is one of the tools we use from</w:t>
      </w:r>
      <w:r w:rsidR="00923C8E" w:rsidRPr="00923C8E">
        <w:rPr>
          <w:sz w:val="24"/>
        </w:rPr>
        <w:t xml:space="preserve"> </w:t>
      </w:r>
      <w:proofErr w:type="spellStart"/>
      <w:r w:rsidR="00923C8E" w:rsidRPr="00923C8E">
        <w:rPr>
          <w:b/>
          <w:sz w:val="32"/>
          <w:u w:val="single"/>
        </w:rPr>
        <w:t>TeamSTEPPS</w:t>
      </w:r>
      <w:proofErr w:type="spellEnd"/>
      <w:r w:rsidR="00923C8E">
        <w:t xml:space="preserve">. The huddle is initiated by anyone on the team, typically the nurse. A huddle occurs in or outside the patient’s room and includes the attending, resident, nurse and tech. We use a sepsis huddle sheet to identify 3 and 6 hour (from the time of end organ damage) time limits and a </w:t>
      </w:r>
      <w:r w:rsidR="00923C8E" w:rsidRPr="00923C8E">
        <w:rPr>
          <w:b/>
          <w:sz w:val="24"/>
          <w:u w:val="single"/>
        </w:rPr>
        <w:t>shared mental model</w:t>
      </w:r>
      <w:r w:rsidR="00923C8E" w:rsidRPr="00923C8E">
        <w:rPr>
          <w:sz w:val="24"/>
        </w:rPr>
        <w:t xml:space="preserve"> </w:t>
      </w:r>
      <w:r w:rsidR="00923C8E">
        <w:t xml:space="preserve">as regards the patient. </w:t>
      </w:r>
    </w:p>
    <w:p w:rsidR="00923C8E" w:rsidRDefault="00923C8E" w:rsidP="00482411">
      <w:pPr>
        <w:pStyle w:val="ListParagraph"/>
        <w:numPr>
          <w:ilvl w:val="0"/>
          <w:numId w:val="1"/>
        </w:numPr>
      </w:pPr>
      <w:r>
        <w:t>Patients with lactate</w:t>
      </w:r>
      <w:r w:rsidR="00F86704">
        <w:t>s &gt; 2 and &lt; 4</w:t>
      </w:r>
      <w:r>
        <w:t xml:space="preserve"> the following have to occur within 3 hours – blood culture</w:t>
      </w:r>
      <w:r w:rsidR="00F86704">
        <w:t>s</w:t>
      </w:r>
      <w:r>
        <w:t xml:space="preserve"> drawn before the first antibiotic is started, all antibiotics started, a 30 mL/kg NS bolus started, and a repeat lactate ordered (needs to be resulted by 6 hours)</w:t>
      </w:r>
    </w:p>
    <w:p w:rsidR="00923C8E" w:rsidRDefault="009755F2" w:rsidP="00482411">
      <w:pPr>
        <w:pStyle w:val="ListParagraph"/>
        <w:numPr>
          <w:ilvl w:val="0"/>
          <w:numId w:val="1"/>
        </w:numPr>
      </w:pPr>
      <w:r w:rsidRPr="009755F2">
        <w:rPr>
          <w:b/>
          <w:sz w:val="28"/>
        </w:rPr>
        <w:t>Lactate &gt; 4 or Hypotension</w:t>
      </w:r>
      <w:r w:rsidRPr="009755F2">
        <w:rPr>
          <w:sz w:val="28"/>
        </w:rPr>
        <w:t xml:space="preserve"> </w:t>
      </w:r>
      <w:r>
        <w:t xml:space="preserve">- </w:t>
      </w:r>
      <w:r w:rsidR="00CF6B96">
        <w:t>Septic Shock</w:t>
      </w:r>
      <w:r>
        <w:t xml:space="preserve"> is defined as being</w:t>
      </w:r>
      <w:r w:rsidR="00CF6B96">
        <w:t xml:space="preserve"> SIRS positive and </w:t>
      </w:r>
      <w:r>
        <w:t xml:space="preserve">having a </w:t>
      </w:r>
      <w:r w:rsidR="00CF6B96">
        <w:t>lactate &gt;= 4 OR 2 hypotensive BP readings in the hour after a 30/kg NS bolus finishes. These patients require:</w:t>
      </w:r>
    </w:p>
    <w:p w:rsidR="00CF6B96" w:rsidRDefault="00F86704" w:rsidP="00CF6B96">
      <w:pPr>
        <w:pStyle w:val="ListParagraph"/>
        <w:numPr>
          <w:ilvl w:val="1"/>
          <w:numId w:val="1"/>
        </w:numPr>
      </w:pPr>
      <w:r>
        <w:t>Two BPs recorded in the hour after a bolus finishes. If there are two hypotensive readings in that hour, the patient requires another bolus and a pressor if the hypotension continues by 6 hours</w:t>
      </w:r>
    </w:p>
    <w:p w:rsidR="00D22DB5" w:rsidRDefault="00D22DB5" w:rsidP="00D22DB5">
      <w:pPr>
        <w:pStyle w:val="ListParagraph"/>
        <w:numPr>
          <w:ilvl w:val="0"/>
          <w:numId w:val="1"/>
        </w:numPr>
      </w:pPr>
      <w:r w:rsidRPr="00D22DB5">
        <w:rPr>
          <w:b/>
          <w:sz w:val="32"/>
          <w:u w:val="single"/>
        </w:rPr>
        <w:t>DEBRIEF</w:t>
      </w:r>
      <w:r w:rsidRPr="00D22DB5">
        <w:rPr>
          <w:sz w:val="32"/>
        </w:rPr>
        <w:t xml:space="preserve"> </w:t>
      </w:r>
      <w:r>
        <w:t xml:space="preserve">– For patients who are in any way challenging, the team debriefs for a few minutes. We discuss what went well, what could have been done better, and suggestions for </w:t>
      </w:r>
      <w:r w:rsidR="000F0A5B">
        <w:t>improvement</w:t>
      </w:r>
      <w:r>
        <w:t xml:space="preserve">. This is another </w:t>
      </w:r>
      <w:proofErr w:type="spellStart"/>
      <w:r w:rsidRPr="00D22DB5">
        <w:rPr>
          <w:b/>
          <w:sz w:val="32"/>
          <w:szCs w:val="32"/>
          <w:u w:val="single"/>
        </w:rPr>
        <w:t>TeamSTEPPS</w:t>
      </w:r>
      <w:proofErr w:type="spellEnd"/>
      <w:r>
        <w:t xml:space="preserve"> tool that we employ. </w:t>
      </w:r>
      <w:r w:rsidR="009755F2">
        <w:t xml:space="preserve">Suggestions are placed in the charge nurse report and escalated to leadership the next day. </w:t>
      </w:r>
    </w:p>
    <w:p w:rsidR="00482411" w:rsidRDefault="00482411" w:rsidP="00482411"/>
    <w:sectPr w:rsidR="00482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438B"/>
    <w:multiLevelType w:val="hybridMultilevel"/>
    <w:tmpl w:val="EEF8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A0"/>
    <w:rsid w:val="0003322D"/>
    <w:rsid w:val="0004066D"/>
    <w:rsid w:val="00040F63"/>
    <w:rsid w:val="000F0A5B"/>
    <w:rsid w:val="001A4B85"/>
    <w:rsid w:val="002533A0"/>
    <w:rsid w:val="00482411"/>
    <w:rsid w:val="004F318F"/>
    <w:rsid w:val="00656A8C"/>
    <w:rsid w:val="006D54F7"/>
    <w:rsid w:val="007E0A17"/>
    <w:rsid w:val="00846F32"/>
    <w:rsid w:val="00881B58"/>
    <w:rsid w:val="0091189D"/>
    <w:rsid w:val="00923C8E"/>
    <w:rsid w:val="009755F2"/>
    <w:rsid w:val="00AF24AF"/>
    <w:rsid w:val="00CF6B96"/>
    <w:rsid w:val="00D22DB5"/>
    <w:rsid w:val="00E70607"/>
    <w:rsid w:val="00EC2DBE"/>
    <w:rsid w:val="00EF2C17"/>
    <w:rsid w:val="00F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1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F3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1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F3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Inova</cp:lastModifiedBy>
  <cp:revision>14</cp:revision>
  <dcterms:created xsi:type="dcterms:W3CDTF">2017-09-11T16:10:00Z</dcterms:created>
  <dcterms:modified xsi:type="dcterms:W3CDTF">2017-09-12T16:20:00Z</dcterms:modified>
</cp:coreProperties>
</file>